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1F4E79"/>
          <w:sz w:val="28"/>
          <w:szCs w:val="28"/>
        </w:rPr>
        <w:t xml:space="preserve">TÉLÉMAQUE DÉVELOPPEMENT</w:t>
      </w:r>
    </w:p>
    <w:p>
      <w:pPr>
        <w:spacing w:after="400"/>
        <w:jc w:val="center"/>
      </w:pPr>
      <w:r>
        <w:rPr>
          <w:i/>
          <w:iCs/>
          <w:color w:val="666666"/>
          <w:sz w:val="22"/>
          <w:szCs w:val="22"/>
        </w:rPr>
        <w:t xml:space="preserve">Organisme de formation certifié Qualiopi</w:t>
      </w:r>
    </w:p>
    <w:p>
      <w:pPr>
        <w:pStyle w:val="Heading1"/>
        <w:jc w:val="center"/>
      </w:pPr>
      <w:r>
        <w:t xml:space="preserve">BILAN DE COMPÉTENCES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F4E79" w:sz="24"/>
              <w:left w:val="single" w:color="1F4E79" w:sz="24"/>
              <w:bottom w:val="single" w:color="1F4E79" w:sz="24"/>
              <w:right w:val="single" w:color="1F4E79" w:sz="24"/>
            </w:tcBorders>
            <w:shd w:fill="E8F4FC" w:val="clear"/>
            <w:tcMar>
              <w:top w:type="dxa" w:w="300"/>
              <w:left w:type="dxa" w:w="300"/>
              <w:bottom w:type="dxa" w:w="300"/>
              <w:right w:type="dxa" w:w="300"/>
            </w:tcMar>
          </w:tcPr>
          <w:p>
            <w:pPr>
              <w:spacing w:after="200"/>
              <w:jc w:val="center"/>
            </w:pPr>
            <w:r>
              <w:rPr>
                <w:b/>
                <w:bCs/>
                <w:color w:val="1F4E79"/>
                <w:sz w:val="32"/>
                <w:szCs w:val="32"/>
              </w:rPr>
              <w:t xml:space="preserve">TARIFS 2026</w:t>
            </w:r>
          </w:p>
          <w:p>
            <w:pPr>
              <w:spacing w:after="150"/>
              <w:jc w:val="center"/>
            </w:pPr>
            <w:r>
              <w:rPr>
                <w:b/>
                <w:bCs/>
                <w:sz w:val="26"/>
                <w:szCs w:val="26"/>
              </w:rPr>
              <w:t xml:space="preserve">Bilan de compétences 24 heures</w:t>
            </w:r>
          </w:p>
          <w:p>
            <w:pPr>
              <w:spacing w:after="200"/>
              <w:jc w:val="center"/>
            </w:pPr>
            <w:r>
              <w:rPr>
                <w:b/>
                <w:bCs/>
                <w:color w:val="C45911"/>
                <w:sz w:val="40"/>
                <w:szCs w:val="40"/>
              </w:rPr>
              <w:t xml:space="preserve">1 800 € à 2 500 € HT</w:t>
            </w:r>
          </w:p>
          <w:p>
            <w:pPr>
              <w:spacing w:after="100"/>
              <w:jc w:val="center"/>
            </w:pPr>
            <w:r>
              <w:rPr>
                <w:i/>
                <w:iCs/>
                <w:sz w:val="22"/>
                <w:szCs w:val="22"/>
              </w:rPr>
              <w:t xml:space="preserve">selon la formule choisie</w:t>
            </w:r>
          </w:p>
          <w:p>
            <w:pPr>
              <w:jc w:val="center"/>
            </w:pPr>
            <w:r>
              <w:rPr>
                <w:sz w:val="22"/>
                <w:szCs w:val="22"/>
              </w:rPr>
              <w:t xml:space="preserve">Durée : 8 à 12 semaines</w:t>
            </w:r>
          </w:p>
        </w:tc>
      </w:tr>
    </w:tbl>
    <w:p>
      <w:pPr>
        <w:spacing w:before="300" w:after="150"/>
        <w:jc w:val="center"/>
      </w:pPr>
      <w:r>
        <w:rPr>
          <w:b/>
          <w:bCs/>
          <w:sz w:val="22"/>
          <w:szCs w:val="22"/>
        </w:rPr>
        <w:t xml:space="preserve">Financement possible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3"/>
        <w:gridCol w:w="3213"/>
        <w:gridCol w:w="3212"/>
      </w:tblGrid>
      <w:tr>
        <w:tc>
          <w:tcPr>
            <w:tcW w:type="dxa" w:w="3213"/>
            <w:tcBorders>
              <w:top w:val="none" w:color="FFFFFF" w:sz="0"/>
              <w:left w:val="none" w:color="FFFFFF" w:sz="0"/>
              <w:bottom w:val="none" w:color="FFFFFF" w:sz="0"/>
              <w:right w:val="none" w:color="FFFFFF" w:sz="0"/>
            </w:tcBorders>
            <w:shd w:fill="FFFFFF" w:val="clear"/>
            <w:tcMar>
              <w:top w:type="dxa" w:w="100"/>
              <w:left w:type="dxa" w:w="100"/>
              <w:bottom w:type="dxa" w:w="100"/>
              <w:right w:type="dxa" w:w="100"/>
            </w:tcMar>
          </w:tcPr>
          <w:p>
            <w:pPr>
              <w:jc w:val="center"/>
            </w:pPr>
            <w:r>
              <w:rPr>
                <w:b/>
                <w:bCs/>
                <w:sz w:val="22"/>
                <w:szCs w:val="22"/>
              </w:rPr>
              <w:t xml:space="preserve">💳 CPF</w:t>
            </w:r>
          </w:p>
          <w:p>
            <w:pPr>
              <w:jc w:val="center"/>
            </w:pPr>
            <w:r>
              <w:rPr>
                <w:sz w:val="18"/>
                <w:szCs w:val="18"/>
              </w:rPr>
              <w:t xml:space="preserve">Compte Personnel</w:t>
            </w:r>
          </w:p>
          <w:p>
            <w:pPr>
              <w:jc w:val="center"/>
            </w:pPr>
            <w:r>
              <w:rPr>
                <w:sz w:val="18"/>
                <w:szCs w:val="18"/>
              </w:rPr>
              <w:t xml:space="preserve">de Formation</w:t>
            </w:r>
          </w:p>
        </w:tc>
        <w:tc>
          <w:tcPr>
            <w:tcW w:type="dxa" w:w="3213"/>
            <w:tcBorders>
              <w:top w:val="none" w:color="FFFFFF" w:sz="0"/>
              <w:left w:val="none" w:color="FFFFFF" w:sz="0"/>
              <w:bottom w:val="none" w:color="FFFFFF" w:sz="0"/>
              <w:right w:val="none" w:color="FFFFFF" w:sz="0"/>
            </w:tcBorders>
            <w:shd w:fill="FFFFFF" w:val="clear"/>
            <w:tcMar>
              <w:top w:type="dxa" w:w="100"/>
              <w:left w:type="dxa" w:w="100"/>
              <w:bottom w:type="dxa" w:w="100"/>
              <w:right w:type="dxa" w:w="100"/>
            </w:tcMar>
          </w:tcPr>
          <w:p>
            <w:pPr>
              <w:jc w:val="center"/>
            </w:pPr>
            <w:r>
              <w:rPr>
                <w:b/>
                <w:bCs/>
                <w:sz w:val="22"/>
                <w:szCs w:val="22"/>
              </w:rPr>
              <w:t xml:space="preserve">🏢 Employeur</w:t>
            </w:r>
          </w:p>
          <w:p>
            <w:pPr>
              <w:jc w:val="center"/>
            </w:pPr>
            <w:r>
              <w:rPr>
                <w:sz w:val="18"/>
                <w:szCs w:val="18"/>
              </w:rPr>
              <w:t xml:space="preserve">Plan de développement</w:t>
            </w:r>
          </w:p>
          <w:p>
            <w:pPr>
              <w:jc w:val="center"/>
            </w:pPr>
            <w:r>
              <w:rPr>
                <w:sz w:val="18"/>
                <w:szCs w:val="18"/>
              </w:rPr>
              <w:t xml:space="preserve">des compétences</w:t>
            </w:r>
          </w:p>
        </w:tc>
        <w:tc>
          <w:tcPr>
            <w:tcW w:type="dxa" w:w="3212"/>
            <w:tcBorders>
              <w:top w:val="none" w:color="FFFFFF" w:sz="0"/>
              <w:left w:val="none" w:color="FFFFFF" w:sz="0"/>
              <w:bottom w:val="none" w:color="FFFFFF" w:sz="0"/>
              <w:right w:val="none" w:color="FFFFFF" w:sz="0"/>
            </w:tcBorders>
            <w:shd w:fill="FFFFFF" w:val="clear"/>
            <w:tcMar>
              <w:top w:type="dxa" w:w="100"/>
              <w:left w:type="dxa" w:w="100"/>
              <w:bottom w:type="dxa" w:w="100"/>
              <w:right w:type="dxa" w:w="100"/>
            </w:tcMar>
          </w:tcPr>
          <w:p>
            <w:pPr>
              <w:jc w:val="center"/>
            </w:pPr>
            <w:r>
              <w:rPr>
                <w:b/>
                <w:bCs/>
                <w:sz w:val="22"/>
                <w:szCs w:val="22"/>
              </w:rPr>
              <w:t xml:space="preserve">👤 Personnel</w:t>
            </w:r>
          </w:p>
          <w:p>
            <w:pPr>
              <w:jc w:val="center"/>
            </w:pPr>
            <w:r>
              <w:rPr>
                <w:sz w:val="18"/>
                <w:szCs w:val="18"/>
              </w:rPr>
              <w:t xml:space="preserve">Autofinancement</w:t>
            </w:r>
          </w:p>
          <w:p>
            <w:pPr>
              <w:jc w:val="center"/>
            </w:pPr>
            <w:r>
              <w:rPr>
                <w:sz w:val="18"/>
                <w:szCs w:val="18"/>
              </w:rPr>
              <w:t xml:space="preserve">Facilités de paiement</w:t>
            </w:r>
          </w:p>
        </w:tc>
      </w:tr>
    </w:tbl>
    <w:p>
      <w:pPr>
        <w:pStyle w:val="Heading2"/>
      </w:pPr>
      <w:r>
        <w:t xml:space="preserve">Qu'est-ce qu'un bilan de compétences ?</w:t>
      </w:r>
    </w:p>
    <w:p>
      <w:pPr>
        <w:spacing w:after="200"/>
      </w:pPr>
      <w:r>
        <w:t xml:space="preserve">Le bilan de compétences est une démarche individuelle qui vous permet d'analyser vos compétences professionnelles et personnelles, vos aptitudes et vos motivations, afin de définir un projet professionnel réaliste et, le cas échéant, un projet de formation ou une démarche de Validation des Acquis de l'Expérience (VAE).</w:t>
      </w:r>
    </w:p>
    <w:p>
      <w:pPr>
        <w:pStyle w:val="Heading2"/>
      </w:pPr>
      <w:r>
        <w:t xml:space="preserve">À qui s'adresse le bilan de compétences ?</w:t>
      </w:r>
    </w:p>
    <w:p>
      <w:pPr>
        <w:pStyle w:val="ListParagraph"/>
        <w:numPr>
          <w:ilvl w:val="0"/>
          <w:numId w:val="2"/>
        </w:numPr>
        <w:spacing w:after="80"/>
      </w:pPr>
      <w:r>
        <w:t xml:space="preserve">Salariés du secteur privé</w:t>
      </w:r>
    </w:p>
    <w:p>
      <w:pPr>
        <w:pStyle w:val="ListParagraph"/>
        <w:numPr>
          <w:ilvl w:val="0"/>
          <w:numId w:val="2"/>
        </w:numPr>
        <w:spacing w:after="80"/>
      </w:pPr>
      <w:r>
        <w:t xml:space="preserve">Agents du secteur public (fonctionnaires, contractuels)</w:t>
      </w:r>
    </w:p>
    <w:p>
      <w:pPr>
        <w:pStyle w:val="ListParagraph"/>
        <w:numPr>
          <w:ilvl w:val="0"/>
          <w:numId w:val="2"/>
        </w:numPr>
        <w:spacing w:after="80"/>
      </w:pPr>
      <w:r>
        <w:t xml:space="preserve">Demandeurs d'emploi</w:t>
      </w:r>
    </w:p>
    <w:p>
      <w:pPr>
        <w:pStyle w:val="ListParagraph"/>
        <w:numPr>
          <w:ilvl w:val="0"/>
          <w:numId w:val="2"/>
        </w:numPr>
        <w:spacing w:after="200"/>
      </w:pPr>
      <w:r>
        <w:t xml:space="preserve">Travailleurs indépendants</w:t>
      </w:r>
    </w:p>
    <w:p>
      <w:pPr>
        <w:spacing w:after="200"/>
      </w:pPr>
      <w:r>
        <w:rPr>
          <w:i/>
          <w:iCs/>
        </w:rPr>
        <w:t xml:space="preserve">Aucun prérequis n'est nécessaire pour réaliser un bilan de compétences.</w:t>
      </w:r>
    </w:p>
    <w:p>
      <w:pPr>
        <w:pStyle w:val="Heading2"/>
      </w:pPr>
      <w:r>
        <w:t xml:space="preserve">Notre accompagnement</w:t>
      </w:r>
    </w:p>
    <w:p>
      <w:pPr>
        <w:spacing w:after="150"/>
      </w:pPr>
      <w:r>
        <w:t xml:space="preserve">Télémaque Développement vous propose un accompagnement personnalisé, structuré en </w:t>
      </w:r>
      <w:r>
        <w:rPr>
          <w:b/>
          <w:bCs/>
        </w:rPr>
        <w:t xml:space="preserve">trois phases obligatoires</w:t>
      </w:r>
      <w:r>
        <w:t xml:space="preserve"> conformément au Code du travail :</w:t>
      </w:r>
    </w:p>
    <w:p>
      <w:pPr>
        <w:pStyle w:val="Heading3"/>
      </w:pPr>
      <w:r>
        <w:t xml:space="preserve">Phase 1 – Phase préliminaire</w:t>
      </w:r>
    </w:p>
    <w:p>
      <w:pPr>
        <w:pStyle w:val="ListParagraph"/>
        <w:numPr>
          <w:ilvl w:val="0"/>
          <w:numId w:val="3"/>
        </w:numPr>
        <w:spacing w:after="60"/>
      </w:pPr>
      <w:r>
        <w:t xml:space="preserve">Analyse de votre demande et de vos besoins</w:t>
      </w:r>
    </w:p>
    <w:p>
      <w:pPr>
        <w:pStyle w:val="ListParagraph"/>
        <w:numPr>
          <w:ilvl w:val="0"/>
          <w:numId w:val="3"/>
        </w:numPr>
        <w:spacing w:after="60"/>
      </w:pPr>
      <w:r>
        <w:t xml:space="preserve">Détermination du format le plus adapté à votre situation</w:t>
      </w:r>
    </w:p>
    <w:p>
      <w:pPr>
        <w:pStyle w:val="ListParagraph"/>
        <w:numPr>
          <w:ilvl w:val="0"/>
          <w:numId w:val="3"/>
        </w:numPr>
        <w:spacing w:after="150"/>
      </w:pPr>
      <w:r>
        <w:t xml:space="preserve">Définition conjointe des modalités de déroulement</w:t>
      </w:r>
    </w:p>
    <w:p>
      <w:pPr>
        <w:pStyle w:val="Heading3"/>
      </w:pPr>
      <w:r>
        <w:t xml:space="preserve">Phase 2 – Phase d'investigation</w:t>
      </w:r>
    </w:p>
    <w:p>
      <w:pPr>
        <w:pStyle w:val="ListParagraph"/>
        <w:numPr>
          <w:ilvl w:val="0"/>
          <w:numId w:val="3"/>
        </w:numPr>
        <w:spacing w:after="60"/>
      </w:pPr>
      <w:r>
        <w:t xml:space="preserve">Construction de votre projet professionnel</w:t>
      </w:r>
    </w:p>
    <w:p>
      <w:pPr>
        <w:pStyle w:val="ListParagraph"/>
        <w:numPr>
          <w:ilvl w:val="0"/>
          <w:numId w:val="3"/>
        </w:numPr>
        <w:spacing w:after="60"/>
      </w:pPr>
      <w:r>
        <w:t xml:space="preserve">Vérification de la pertinence de votre projet</w:t>
      </w:r>
    </w:p>
    <w:p>
      <w:pPr>
        <w:pStyle w:val="ListParagraph"/>
        <w:numPr>
          <w:ilvl w:val="0"/>
          <w:numId w:val="3"/>
        </w:numPr>
        <w:spacing w:after="150"/>
      </w:pPr>
      <w:r>
        <w:t xml:space="preserve">Élaboration d'alternatives si nécessaire</w:t>
      </w:r>
    </w:p>
    <w:p>
      <w:pPr>
        <w:pStyle w:val="Heading3"/>
      </w:pPr>
      <w:r>
        <w:t xml:space="preserve">Phase 3 – Phase de conclusions</w:t>
      </w:r>
    </w:p>
    <w:p>
      <w:pPr>
        <w:pStyle w:val="ListParagraph"/>
        <w:numPr>
          <w:ilvl w:val="0"/>
          <w:numId w:val="3"/>
        </w:numPr>
        <w:spacing w:after="60"/>
      </w:pPr>
      <w:r>
        <w:t xml:space="preserve">Appropriation des résultats de la phase d'investigation</w:t>
      </w:r>
    </w:p>
    <w:p>
      <w:pPr>
        <w:pStyle w:val="ListParagraph"/>
        <w:numPr>
          <w:ilvl w:val="0"/>
          <w:numId w:val="3"/>
        </w:numPr>
        <w:spacing w:after="60"/>
      </w:pPr>
      <w:r>
        <w:t xml:space="preserve">Recensement des conditions favorisant la réalisation de votre projet</w:t>
      </w:r>
    </w:p>
    <w:p>
      <w:pPr>
        <w:pStyle w:val="ListParagraph"/>
        <w:numPr>
          <w:ilvl w:val="0"/>
          <w:numId w:val="3"/>
        </w:numPr>
        <w:spacing w:after="60"/>
      </w:pPr>
      <w:r>
        <w:t xml:space="preserve">Remise d'un document de synthèse personnalisé</w:t>
      </w:r>
    </w:p>
    <w:p>
      <w:pPr>
        <w:pStyle w:val="ListParagraph"/>
        <w:numPr>
          <w:ilvl w:val="0"/>
          <w:numId w:val="3"/>
        </w:numPr>
        <w:spacing w:after="200"/>
      </w:pPr>
      <w:r>
        <w:t xml:space="preserve">Possibilité d'un entretien de suivi à 6 mois</w:t>
      </w:r>
    </w:p>
    <w:p>
      <w:pPr>
        <w:pStyle w:val="Heading2"/>
      </w:pPr>
      <w:r>
        <w:t xml:space="preserve">Délai d'accès</w:t>
      </w:r>
    </w:p>
    <w:p>
      <w:pPr>
        <w:spacing w:after="200"/>
      </w:pPr>
      <w:r>
        <w:t xml:space="preserve">Le bilan de compétences peut démarrer dans un délai de </w:t>
      </w:r>
      <w:r>
        <w:rPr>
          <w:b/>
          <w:bCs/>
        </w:rPr>
        <w:t xml:space="preserve">2 à 4 semaines</w:t>
      </w:r>
      <w:r>
        <w:t xml:space="preserve"> après validation du financement et signature de la convention. Un </w:t>
      </w:r>
      <w:r>
        <w:rPr>
          <w:b/>
          <w:bCs/>
        </w:rPr>
        <w:t xml:space="preserve">entretien préalable gratuit et sans engagement</w:t>
      </w:r>
      <w:r>
        <w:t xml:space="preserve"> est proposé pour définir vos besoins.</w:t>
      </w:r>
    </w:p>
    <w:p>
      <w:pPr>
        <w:pStyle w:val="Heading2"/>
      </w:pPr>
      <w:r>
        <w:t xml:space="preserve">Cadre légal et réglementaire</w:t>
      </w:r>
    </w:p>
    <w:p>
      <w:pPr>
        <w:spacing w:after="150"/>
      </w:pPr>
      <w:r>
        <w:t xml:space="preserve">Le bilan de compétences est encadré par :</w:t>
      </w:r>
    </w:p>
    <w:p>
      <w:pPr>
        <w:pStyle w:val="ListParagraph"/>
        <w:numPr>
          <w:ilvl w:val="0"/>
          <w:numId w:val="3"/>
        </w:numPr>
        <w:spacing w:after="60"/>
      </w:pPr>
      <w:r>
        <w:t xml:space="preserve">Loi du 31 décembre 1991 instituant le bilan de compétences</w:t>
      </w:r>
    </w:p>
    <w:p>
      <w:pPr>
        <w:pStyle w:val="ListParagraph"/>
        <w:numPr>
          <w:ilvl w:val="0"/>
          <w:numId w:val="3"/>
        </w:numPr>
        <w:spacing w:after="60"/>
      </w:pPr>
      <w:r>
        <w:t xml:space="preserve">Loi n° 2018-771 du 5 septembre 2018 « pour la liberté de choisir son avenir professionnel »</w:t>
      </w:r>
    </w:p>
    <w:p>
      <w:pPr>
        <w:pStyle w:val="ListParagraph"/>
        <w:numPr>
          <w:ilvl w:val="0"/>
          <w:numId w:val="3"/>
        </w:numPr>
        <w:spacing w:after="60"/>
      </w:pPr>
      <w:r>
        <w:t xml:space="preserve">Articles L.6313-1, L.6313-4 et R.6313-4 à R.6313-8 du Code du travail</w:t>
      </w:r>
    </w:p>
    <w:p>
      <w:pPr>
        <w:pStyle w:val="ListParagraph"/>
        <w:numPr>
          <w:ilvl w:val="0"/>
          <w:numId w:val="3"/>
        </w:numPr>
        <w:spacing w:after="200"/>
      </w:pPr>
      <w:r>
        <w:t xml:space="preserve">Décret n° 2018-1330 du 28 décembre 2018</w:t>
      </w:r>
    </w:p>
    <w:p>
      <w:pPr>
        <w:pStyle w:val="Heading2"/>
      </w:pPr>
      <w:r>
        <w:t xml:space="preserve">Vos garanties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shd w:fill="F9F9F9" w:val="clear"/>
            <w:tcMar>
              <w:top w:type="dxa" w:w="150"/>
              <w:left w:type="dxa" w:w="200"/>
              <w:bottom w:type="dxa" w:w="150"/>
              <w:right w:type="dxa" w:w="200"/>
            </w:tcMar>
          </w:tcPr>
          <w:p>
            <w:pPr>
              <w:spacing w:after="80"/>
            </w:pPr>
            <w:r>
              <w:rPr>
                <w:b/>
                <w:bCs/>
                <w:sz w:val="22"/>
                <w:szCs w:val="22"/>
              </w:rPr>
              <w:t xml:space="preserve">🔒 Confidentialité totale</w:t>
            </w:r>
          </w:p>
          <w:p>
            <w:r>
              <w:rPr>
                <w:sz w:val="20"/>
                <w:szCs w:val="20"/>
              </w:rPr>
              <w:t xml:space="preserve">Les résultats sont votre propriété exclusive et ne peuvent être communiqués à un tiers sans votre accord.</w:t>
            </w:r>
          </w:p>
        </w:tc>
        <w:tc>
          <w:tcPr>
            <w:tcW w:type="dxa" w:w="4819"/>
            <w:tcBorders>
              <w:top w:val="single" w:color="CCCCCC" w:sz="1"/>
              <w:left w:val="single" w:color="CCCCCC" w:sz="1"/>
              <w:bottom w:val="single" w:color="CCCCCC" w:sz="1"/>
              <w:right w:val="single" w:color="CCCCCC" w:sz="1"/>
            </w:tcBorders>
            <w:shd w:fill="F9F9F9" w:val="clear"/>
            <w:tcMar>
              <w:top w:type="dxa" w:w="150"/>
              <w:left w:type="dxa" w:w="200"/>
              <w:bottom w:type="dxa" w:w="150"/>
              <w:right w:type="dxa" w:w="200"/>
            </w:tcMar>
          </w:tcPr>
          <w:p>
            <w:pPr>
              <w:spacing w:after="80"/>
            </w:pPr>
            <w:r>
              <w:rPr>
                <w:b/>
                <w:bCs/>
                <w:sz w:val="22"/>
                <w:szCs w:val="22"/>
              </w:rPr>
              <w:t xml:space="preserve">✅ Consentement</w:t>
            </w:r>
          </w:p>
          <w:p>
            <w:r>
              <w:rPr>
                <w:sz w:val="20"/>
                <w:szCs w:val="20"/>
              </w:rPr>
              <w:t xml:space="preserve">Le bilan ne peut être réalisé qu'avec votre accord. Votre refus ne constitue ni une faute ni un motif de licenciement.</w:t>
            </w:r>
          </w:p>
        </w:tc>
      </w:tr>
      <w:tr>
        <w:tc>
          <w:tcPr>
            <w:tcW w:type="dxa" w:w="4819"/>
            <w:tcBorders>
              <w:top w:val="single" w:color="CCCCCC" w:sz="1"/>
              <w:left w:val="single" w:color="CCCCCC" w:sz="1"/>
              <w:bottom w:val="single" w:color="CCCCCC" w:sz="1"/>
              <w:right w:val="single" w:color="CCCCCC" w:sz="1"/>
            </w:tcBorders>
            <w:shd w:fill="F9F9F9" w:val="clear"/>
            <w:tcMar>
              <w:top w:type="dxa" w:w="150"/>
              <w:left w:type="dxa" w:w="200"/>
              <w:bottom w:type="dxa" w:w="150"/>
              <w:right w:type="dxa" w:w="200"/>
            </w:tcMar>
          </w:tcPr>
          <w:p>
            <w:pPr>
              <w:spacing w:after="80"/>
            </w:pPr>
            <w:r>
              <w:rPr>
                <w:b/>
                <w:bCs/>
                <w:sz w:val="22"/>
                <w:szCs w:val="22"/>
              </w:rPr>
              <w:t xml:space="preserve">⏱️ Durée encadrée</w:t>
            </w:r>
          </w:p>
          <w:p>
            <w:r>
              <w:rPr>
                <w:sz w:val="20"/>
                <w:szCs w:val="20"/>
              </w:rPr>
              <w:t xml:space="preserve">24 heures maximum réparties sur 8 à 12 semaines, selon votre rythme et vos disponibilités.</w:t>
            </w:r>
          </w:p>
        </w:tc>
        <w:tc>
          <w:tcPr>
            <w:tcW w:type="dxa" w:w="4819"/>
            <w:tcBorders>
              <w:top w:val="single" w:color="CCCCCC" w:sz="1"/>
              <w:left w:val="single" w:color="CCCCCC" w:sz="1"/>
              <w:bottom w:val="single" w:color="CCCCCC" w:sz="1"/>
              <w:right w:val="single" w:color="CCCCCC" w:sz="1"/>
            </w:tcBorders>
            <w:shd w:fill="F9F9F9" w:val="clear"/>
            <w:tcMar>
              <w:top w:type="dxa" w:w="150"/>
              <w:left w:type="dxa" w:w="200"/>
              <w:bottom w:type="dxa" w:w="150"/>
              <w:right w:type="dxa" w:w="200"/>
            </w:tcMar>
          </w:tcPr>
          <w:p>
            <w:pPr>
              <w:spacing w:after="80"/>
            </w:pPr>
            <w:r>
              <w:rPr>
                <w:b/>
                <w:bCs/>
                <w:sz w:val="22"/>
                <w:szCs w:val="22"/>
              </w:rPr>
              <w:t xml:space="preserve">📋 Suivi personnalisé</w:t>
            </w:r>
          </w:p>
          <w:p>
            <w:r>
              <w:rPr>
                <w:sz w:val="20"/>
                <w:szCs w:val="20"/>
              </w:rPr>
              <w:t xml:space="preserve">Un entretien de suivi vous est proposé 6 mois après la fin du bilan pour faire le point sur votre projet.</w:t>
            </w:r>
          </w:p>
        </w:tc>
      </w:tr>
    </w:tbl>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75B6" w:sz="16"/>
              <w:left w:val="single" w:color="2E75B6" w:sz="16"/>
              <w:bottom w:val="single" w:color="2E75B6" w:sz="16"/>
              <w:right w:val="single" w:color="2E75B6" w:sz="16"/>
            </w:tcBorders>
            <w:shd w:fill="F0F7FC" w:val="clear"/>
            <w:tcMar>
              <w:top w:type="dxa" w:w="250"/>
              <w:left w:type="dxa" w:w="300"/>
              <w:bottom w:type="dxa" w:w="250"/>
              <w:right w:type="dxa" w:w="300"/>
            </w:tcMar>
          </w:tcPr>
          <w:p>
            <w:pPr>
              <w:spacing w:after="150"/>
              <w:jc w:val="center"/>
            </w:pPr>
            <w:r>
              <w:rPr>
                <w:b/>
                <w:bCs/>
                <w:color w:val="1F4E79"/>
                <w:sz w:val="26"/>
                <w:szCs w:val="26"/>
              </w:rPr>
              <w:t xml:space="preserve">Vous souhaitez réaliser un bilan de compétences ?</w:t>
            </w:r>
          </w:p>
          <w:p>
            <w:pPr>
              <w:spacing w:after="150"/>
              <w:jc w:val="center"/>
            </w:pPr>
            <w:r>
              <w:rPr>
                <w:sz w:val="22"/>
                <w:szCs w:val="22"/>
              </w:rPr>
              <w:t xml:space="preserve">Contactez-nous pour un entretien préalable gratuit et sans engagement.</w:t>
            </w:r>
          </w:p>
          <w:p>
            <w:pPr>
              <w:jc w:val="center"/>
            </w:pPr>
            <w:r>
              <w:rPr>
                <w:b/>
                <w:bCs/>
                <w:color w:val="2E75B6"/>
                <w:sz w:val="22"/>
                <w:szCs w:val="22"/>
              </w:rPr>
              <w:t xml:space="preserve">contact@telemaque-developpement.fr</w:t>
            </w:r>
          </w:p>
        </w:tc>
      </w:tr>
    </w:tbl>
    <w:p>
      <w:pPr>
        <w:spacing w:before="400"/>
      </w:pPr>
    </w:p>
    <w:p>
      <w:pPr>
        <w:jc w:val="center"/>
      </w:pPr>
      <w:r>
        <w:rPr>
          <w:color w:val="CCCCCC"/>
        </w:rPr>
        <w:t xml:space="preserve">───────────────────────────────────────</w:t>
      </w:r>
    </w:p>
    <w:p>
      <w:pPr>
        <w:spacing w:after="80"/>
        <w:jc w:val="center"/>
      </w:pPr>
      <w:r>
        <w:rPr>
          <w:color w:val="666666"/>
          <w:sz w:val="18"/>
          <w:szCs w:val="18"/>
        </w:rPr>
        <w:t xml:space="preserve">TÉLÉMAQUE DÉVELOPPEMENT – Organisme de formation certifié Qualiopi</w:t>
      </w:r>
    </w:p>
    <w:p>
      <w:pPr>
        <w:jc w:val="center"/>
      </w:pPr>
      <w:r>
        <w:rPr>
          <w:color w:val="888888"/>
          <w:sz w:val="18"/>
          <w:szCs w:val="18"/>
        </w:rPr>
        <w:t xml:space="preserve">Document mis à jour : Janvier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80"/>
      <w:outlineLvl w:val="0"/>
    </w:pPr>
    <w:rPr>
      <w:rFonts w:ascii="Arial" w:cs="Arial" w:eastAsia="Arial" w:hAnsi="Arial"/>
      <w:b/>
      <w:bCs/>
      <w:color w:val="1F4E79"/>
      <w:sz w:val="36"/>
      <w:szCs w:val="36"/>
    </w:rPr>
  </w:style>
  <w:style w:type="paragraph" w:styleId="Heading2">
    <w:name w:val="Heading 2"/>
    <w:basedOn w:val="Normal"/>
    <w:next w:val="Normal"/>
    <w:qFormat/>
    <w:pPr>
      <w:spacing w:before="320" w:after="180"/>
      <w:outlineLvl w:val="1"/>
    </w:pPr>
    <w:rPr>
      <w:rFonts w:ascii="Arial" w:cs="Arial" w:eastAsia="Arial" w:hAnsi="Arial"/>
      <w:b/>
      <w:bCs/>
      <w:color w:val="2E75B6"/>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2026-01-13T09:54:02.285Z</dcterms:created>
  <dcterms:modified xsi:type="dcterms:W3CDTF">2026-01-13T09:54:02.286Z</dcterms:modified>
</cp:coreProperties>
</file>

<file path=docProps/custom.xml><?xml version="1.0" encoding="utf-8"?>
<Properties xmlns="http://schemas.openxmlformats.org/officeDocument/2006/custom-properties" xmlns:vt="http://schemas.openxmlformats.org/officeDocument/2006/docPropsVTypes"/>
</file>